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VII</w:t>
      </w:r>
      <w:r w:rsidDel="00000000" w:rsidR="00000000" w:rsidRPr="00000000">
        <w:rPr>
          <w:b w:val="1"/>
          <w:vertAlign w:val="baseline"/>
          <w:rtl w:val="0"/>
        </w:rPr>
        <w:t xml:space="preserve"> –  </w:t>
      </w:r>
      <w:r w:rsidDel="00000000" w:rsidR="00000000" w:rsidRPr="00000000">
        <w:rPr>
          <w:b w:val="1"/>
          <w:rtl w:val="0"/>
        </w:rPr>
        <w:t xml:space="preserve">Laudo</w:t>
      </w:r>
      <w:r w:rsidDel="00000000" w:rsidR="00000000" w:rsidRPr="00000000">
        <w:rPr>
          <w:b w:val="1"/>
          <w:vertAlign w:val="baseline"/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vistoria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75"/>
        <w:gridCol w:w="3585"/>
        <w:tblGridChange w:id="0">
          <w:tblGrid>
            <w:gridCol w:w="6075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fantasia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(quando aplicável)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Classificação: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Município: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do protocolo:</w:t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7935"/>
        <w:gridCol w:w="675"/>
        <w:gridCol w:w="600"/>
        <w:tblGridChange w:id="0">
          <w:tblGrid>
            <w:gridCol w:w="480"/>
            <w:gridCol w:w="7935"/>
            <w:gridCol w:w="675"/>
            <w:gridCol w:w="60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3f3f3" w:val="clear"/>
                <w:rtl w:val="0"/>
              </w:rPr>
              <w:t xml:space="preserve">Dados do estabelecimento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dados do estabelecimento correspondem aos informados nos documentos?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plantas e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apresentados pelo estabelecimento estão assinados e aprovados pelo Deinp?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3f3f3" w:val="clear"/>
                <w:rtl w:val="0"/>
              </w:rPr>
              <w:t xml:space="preserve">Área externa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características do terreno estão em conformidade com o informado nas 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delimitação do perímetro proporciona o isolamento das instalações industriais de edificações residenciais e de vias públicas?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área para circulação interna de veículos e de pessoas é pavimentada?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área do terreno é suficiente para comportar as instalações industriais, as demais dependências e a circulação de veículos?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Estabelecimento distante de fontes emissoras de mau cheiro e de potenciais contaminantes?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Água de abastecimento e águas residuais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fonte produtora de água, a capacidade do(s) reservatório(s) e o sistema de tratamento (quando aplicável) estão de acordo com o projeto aprovado (plantas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escoamento de águas residuais está de acordo com o projeto aprovado (plantas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f3f3f3" w:val="clear"/>
                <w:rtl w:val="0"/>
              </w:rPr>
              <w:t xml:space="preserve">Área interna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 instalações industriais estão totalmente concluídas e foram construídas  de acordo com o projeto aprovado  (plantas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maquinários e equipamentos estão de acordo com o projeto aprovado (plantas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em relação ao leiaute, quantidade e capacidade e aptos a funcionar?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maquinários,  equipamentos e utensílios disponibilizados para fabricação apresentam-se em condições sanitárias adequadas?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barreiras físicas contra pragas e vetores estão de acordo com o projeto aprovado (plantas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Informações sobre o serviço de inspeção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sala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SIE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está em conformidade com a planta 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MTSE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 O MVA terá acesso a vestiário e sanitário? Receberá todos os EPIs?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Carga horária recomendada para o MVA:   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xxx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horas/semanais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dos itens não conformes e observações: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Arquivo digital em anexo:  (   ) Sim, </w:t>
            </w: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indicar a quantidade</w:t>
            </w:r>
            <w:r w:rsidDel="00000000" w:rsidR="00000000" w:rsidRPr="00000000">
              <w:rPr>
                <w:i w:val="1"/>
                <w:color w:val="434343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   ) Não.</w:t>
            </w:r>
          </w:p>
        </w:tc>
      </w:tr>
    </w:tbl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subscript"/>
        </w:rPr>
      </w:pPr>
      <w:r w:rsidDel="00000000" w:rsidR="00000000" w:rsidRPr="00000000">
        <w:rPr>
          <w:color w:val="ff0000"/>
          <w:rtl w:val="0"/>
        </w:rPr>
        <w:t xml:space="preserve">Município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dia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mês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color w:val="ff0000"/>
          <w:rtl w:val="0"/>
        </w:rPr>
        <w:t xml:space="preserve">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00" w:before="10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00" w:before="10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00" w:before="100" w:line="276" w:lineRule="auto"/>
        <w:jc w:val="center"/>
        <w:rPr/>
      </w:pPr>
      <w:r w:rsidDel="00000000" w:rsidR="00000000" w:rsidRPr="00000000">
        <w:rPr>
          <w:vertAlign w:val="subscript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  <w:t xml:space="preserve">Assinatura e carimbo 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 MVO responsável pela vistoria</w:t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701" w:left="1701" w:right="1134" w:header="170.07874015748033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252"/>
        <w:tab w:val="right" w:leader="none" w:pos="8504"/>
        <w:tab w:val="left" w:leader="none" w:pos="708"/>
        <w:tab w:val="center" w:leader="none" w:pos="4419"/>
        <w:tab w:val="right" w:leader="none" w:pos="8838"/>
      </w:tabs>
      <w:ind w:left="-141.73228346456688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114300" distT="114300" distL="114300" distR="114300">
          <wp:extent cx="5763996" cy="788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3996" cy="78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